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 ideia ao projeto</w:t>
      </w:r>
    </w:p>
    <w:p>
      <w:r>
        <w:t>Guia de estudo autônomo · Site 145 · Inteligência Artificial · UFABC</w:t>
      </w:r>
    </w:p>
    <w:p>
      <w:r>
        <w:t>Material de leitura para casa, aberto a todos os participantes. Não é um roteiro de fala docente nem um gabarito de avaliação.</w:t>
      </w:r>
    </w:p>
    <w:p>
      <w:pPr>
        <w:pStyle w:val="Heading1"/>
      </w:pPr>
      <w:r>
        <w:t>1. Uma necessidade concreta</w:t>
      </w:r>
    </w:p>
    <w:p>
      <w:r>
        <w:t>Uma pessoa reuniu livros, manuscritos, apresentações e planilhas sobre o Site 145 e quer organizar esse acervo, consultar fontes, calcular resultados e registrar lacunas. O projeto sobre a Atlântida é uma hipótese do autor, não uma verdade estabelecida. Aqui o objetivo é aprender como um conjunto de componentes de software ajuda a desenvolver uma investigação, independentemente de sua conclusão histórica.</w:t>
      </w:r>
    </w:p>
    <w:p>
      <w:pPr>
        <w:pStyle w:val="Heading1"/>
      </w:pPr>
      <w:r>
        <w:t>2. Arquitetura geral: o modelo e os satélites</w:t>
      </w:r>
    </w:p>
    <w:p>
      <w:r>
        <w:t>Em um sistema agêntico típico, o modelo de linguagem (frequentemente baseado em Transformer) interpreta um objetivo e pode sugerir o próximo passo. Ao seu redor trabalham módulos comuns, que podem estar no mesmo computador, no navegador ou na nuvem: interface de usuário; preparação de contexto; coordenação e controle; recuperação de informação (RAG); acesso a dados estruturados; ferramentas e APIs; armazenamento de estado e histórico; validação, permissões e revisão humana; eventual fila e agendamento para tarefas prolongadas. Nem todo projeto exige todos os módulos. O conjunto se desenha a partir de uma necessidade e cresce por camadas.</w:t>
      </w:r>
    </w:p>
    <w:p>
      <w:pPr>
        <w:pStyle w:val="Heading1"/>
      </w:pPr>
      <w:r>
        <w:t>3. O general e o mensageiro</w:t>
      </w:r>
    </w:p>
    <w:p>
      <w:r>
        <w:t>Imagine um general que precisa comandar o quartel estando em casa, quando não existem meios de comunicação direta. O mensageiro leva um relatório do quartel ao general e retorna com uma instrução; a equipe executa e prepara outro relatório. Isso se repete até terminar a missão. Neste laboratório, o LLM externo corresponde ao general que PROPÕE; o aluno transporta as mensagens; o coordenador do navegador valida a ordem, e as ferramentas realmente executam. A analogia é limitada: um LLM não detém autoridade independente, e o usuário continua responsável pela revisão.</w:t>
      </w:r>
    </w:p>
    <w:p>
      <w:pPr>
        <w:pStyle w:val="Heading1"/>
      </w:pPr>
      <w:r>
        <w:t>4. Por que existe a ponte manual?</w:t>
      </w:r>
    </w:p>
    <w:p>
      <w:r>
        <w:t>O site não contém pesos de uma IA nem está automaticamente conectado a ChatGPT, Gemini ou outro serviço. O Transformer do chat externo participa de verdade quando recebe o contexto preparado e devolve JSON. O site tem o coordenador em JavaScript e as ferramentas, mas não possui um modelo embutido. Copiar e colar simula a TRANSMISSÃO entre componentes, não o funcionamento interno do Transformer. Com uma integração por API esse transporte poderia ser automatizado, mas as validações continuam necessárias.</w:t>
      </w:r>
    </w:p>
    <w:p>
      <w:pPr>
        <w:pStyle w:val="Heading1"/>
      </w:pPr>
      <w:r>
        <w:t>5. Uma volta completa, e depois outra</w:t>
      </w:r>
    </w:p>
    <w:p>
      <w:r>
        <w:t>O usuário escreve “Como são calculados os alinhamentos?”. O site prepara um contexto contendo pergunta, ações autorizadas e observações anteriores. O aluno copia o texto completo ao LLM. O modelo pode devolver {"acao":"buscar_fontes","argumentos":{"consulta":"critério angular alfa beta gama"}}. O aluno cola somente o objeto na caixa do site e pressiona “Validar e executar o JSON”. O coordenador valida; a ferramenta busca fichas e devolve trechos. ISSO AINDA NÃO É A RESPOSTA FINAL. O aluno clica “3 · Copiar resultados + pergunta para a IA”, leva o novo contexto ao mesmo chat, recebe nova ação e repete. Ao devolver {"acao":"finalizar","argumentos":{"texto":"..."}}, o site encerra e mostra a resposta. O número de voltas depende da tarefa e das propostas.</w:t>
      </w:r>
    </w:p>
    <w:p>
      <w:pPr>
        <w:pStyle w:val="Heading1"/>
      </w:pPr>
      <w:r>
        <w:t>6. Por que JSON?</w:t>
      </w:r>
    </w:p>
    <w:p>
      <w:r>
        <w:t>JSON é uma representação estruturada de mensagens, com campos e valores. Nosso contrato tem os campos acao e argumentos. buscar_fontes consulta a biblioteca; ler_medicoes lê dados de um monumento; calcular_alinhamento calcula sobre a medição previamente recuperada; propor_tarefa registra uma tarefa; criar_rascunho cria uma ficha pendente; finalizar encerra. JSON NÃO executa nada sozinho. O coordenador compara a ação e os argumentos com o contrato autorizado, executa uma função, captura o resultado ou erro e o devolve ao contexto. O JSON de “Exportar projeto” é diferente: é um backup, não uma ação do modelo.</w:t>
      </w:r>
    </w:p>
    <w:p>
      <w:pPr>
        <w:pStyle w:val="Heading1"/>
      </w:pPr>
      <w:r>
        <w:t>7. Recuperação e RAG</w:t>
      </w:r>
    </w:p>
    <w:p>
      <w:r>
        <w:t>Uma biblioteca armazena fichas e referências; um buscador seleciona trechos úteis. Em RAG (Retrieval-Augmented Generation), esses trechos recuperados são adicionados ao contexto para que o modelo gere uma resposta fundamentada. Recuperação não significa treinamento nem alteração dos pesos do Transformer. Esta edição usa pesquisa lexical local, sem embeddings nem banco vetorial. A IA só lê os fragmentos quando eles são transportados de volta ao chat. A coleção não corresponde aos relatórios integrais do DSDP.</w:t>
      </w:r>
    </w:p>
    <w:p>
      <w:pPr>
        <w:pStyle w:val="Heading1"/>
      </w:pPr>
      <w:r>
        <w:t>8. Site 145: quais módulos estão realmente presentes?</w:t>
      </w:r>
    </w:p>
    <w:p>
      <w:r>
        <w:t>Interface pública em português; biblioteca inicial de quinze fichas; catálogo de dezessete conjuntos de medição do XLS; busca lexical; calculadora geométrica demonstrativa; coordenador que valida propostas; caderno local; revisão de fichas e exportação JSON. O modelo está no chat externo, não dentro do HTML. Não há login administrativo, banco de dados compartilhado, API automática, dot conectado nem agente que continue operando após fechar a página. Cada visitante pode guardar notas localmente; essas notas não atualizam os dados públicos.</w:t>
      </w:r>
    </w:p>
    <w:p>
      <w:pPr>
        <w:pStyle w:val="Heading1"/>
      </w:pPr>
      <w:r>
        <w:t>9. Abrir os detalhes sem perder o caminho</w:t>
      </w:r>
    </w:p>
    <w:p>
      <w:r>
        <w:t>Na primeira página, use “Pedir ajuda à IA” e siga a orientação de etapa. Depois de buscar, veja primeiro o aviso de que a etapa ainda é intermediária e o botão para continuar. “Ver fontes recuperadas” é opcional; o conteúdo das fichas não deve ser confundido com uma resposta final. Somente a operação finalizar indica que o ciclo terminou. Em “Como funciona” observe o desenho geral; em “Explorar os módulos” examine entradas, saídas, erros e dependências.</w:t>
      </w:r>
    </w:p>
    <w:p>
      <w:pPr>
        <w:pStyle w:val="Heading1"/>
      </w:pPr>
      <w:r>
        <w:t>10. Módulos, memória e implantação</w:t>
      </w:r>
    </w:p>
    <w:p>
      <w:r>
        <w:t>Memória do projeto significa documentos, notas, tarefas e registros que permanecem fora dos parâmetros do modelo. KV cache é uma otimização interna do processamento de atenção e não substitui o caderno. Se um LLM for executado localmente, precisará de recursos de CPU/GPU/RAM conforme o modelo; se usar um provedor em nuvem, esses recursos de inferência ficam fora do computador do aluno. Mas o navegador ainda executa coordenador e ferramentas. Um agente duradouro precisaria de infraestrutura e permissões adicionais. Um dot integrado é outra classe de serviço, não algo conectado nesta edição.</w:t>
      </w:r>
    </w:p>
    <w:p>
      <w:pPr>
        <w:pStyle w:val="Heading1"/>
      </w:pPr>
      <w:r>
        <w:t>11. Método geométrico: exemplo opcional</w:t>
      </w:r>
    </w:p>
    <w:p>
      <w:r>
        <w:t>O manuscrito considera dois pontos A e B representando o eixo de um monumento e a região S no Caribe. Compara três ângulos alfa, beta e gama e considera o eixo dentro do intervalo quando alfa &lt; gama &lt; beta ou beta &lt; gama &lt; alfa. As fórmulas e escolhas da planilha são operações em coordenadas tratadas no plano; não equivalem automaticamente a uma loxodromia geodésica rigorosa. O resultado matemático não comprova uma intenção histórica. Consultar as fichas ART-MET-05, ART-CRIT-05, ART-FORM-07 e as medidas disponíveis para acompanhar as diferenças.</w:t>
      </w:r>
    </w:p>
    <w:p>
      <w:pPr>
        <w:pStyle w:val="Heading1"/>
      </w:pPr>
      <w:r>
        <w:t>12. Estudo e reflexão</w:t>
      </w:r>
    </w:p>
    <w:p>
      <w:r>
        <w:t>Ao explorar qualquer projeto, pergunte: qual é o resultado útil para o usuário? Qual módulo recebe a entrada e qual saída produz? Quem autoriza uma ação? O que muda se uma fonte estiver ausente? Como comprovar o que de fato executou? Quais limitações precisam ser apresentadas ao usuário? Essas questões são mais importantes que memorizar um catálogo de siglas.</w:t>
      </w:r>
    </w:p>
    <w:p>
      <w:pPr>
        <w:pStyle w:val="Heading1"/>
      </w:pPr>
      <w:r>
        <w:t>Referências e escopo</w:t>
      </w:r>
    </w:p>
    <w:p>
      <w:r>
        <w:t>Base: manuscrito “Site 145: a geomagnetic Mecca for ancient megalith builders” (autor); biblioteca e planilha extraída que acompanham o protótipo; palestra TEDxUFABC fornecida pelo autor; RFC 8259 para JSON. A hipótese do Site 145 e os alinhamentos pertencem à pesquisa do autor; não constituem validação arqueológica independente. Edição preparada para hospedagem estática e uso didático, sem serviços pagos integrados.</w:t>
      </w:r>
    </w:p>
    <w:sectPr w:rsidR="00FC693F" w:rsidRPr="0006063C" w:rsidSect="00034616"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