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t>GUIA DE ATIVIDADES INTERATIVAS · SITE 145</w:t>
      </w:r>
    </w:p>
    <w:p>
      <w:pPr>
        <w:pStyle w:val="Title"/>
      </w:pPr>
      <w:r>
        <w:t>Da ideia ao projeto</w:t>
      </w:r>
    </w:p>
    <w:p>
      <w:r>
        <w:rPr>
          <w:rFonts w:ascii="Arial" w:hAnsi="Arial"/>
        </w:rPr>
        <w:t>Como o Transformer e seus módulos de apoio trabalham juntos</w:t>
      </w:r>
    </w:p>
    <w:p>
      <w:r>
        <w:rPr>
          <w:rFonts w:ascii="Arial" w:hAnsi="Arial"/>
        </w:rPr>
        <w:t>Inteligência Artificial • Prof. Francisco Javier Ropero Peláez • UFABC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5760000" cy="2403310"/>
            <wp:docPr id="1" name="Picture 1" descr="Tela da edição 4.0. A primeira página apresenta a pesquisa; os detalhes técnicos ficam nas camadas seguinte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03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Arial" w:hAnsi="Arial"/>
        </w:rPr>
        <w:t>Tela da edição 4.0. A primeira página apresenta a pesquisa; os detalhes técnicos ficam nas camadas seguintes.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Objetivo: compreender como uma pessoa transforma documentos, dados e uma intenção em trabalho organizado com a colaboração de um modelo e de software.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 pesquisa Site 145 fornece um caso contínuo. Você não precisa concordar com sua hipótese histórica para realizar a prática. Serão avaliadas as responsabilidades dos módulos, suas interfaces, os registros e a aplicação a um projeto seu.</w:t>
      </w:r>
    </w:p>
    <w:p>
      <w:r>
        <w:rPr>
          <w:rFonts w:ascii="Arial" w:hAnsi="Arial"/>
        </w:rPr>
        <w:t>Nome: __________________________________  Turma: ________________</w:t>
        <w:br/>
        <w:t>Grupo: _________________________________  Data: _________________</w:t>
      </w:r>
    </w:p>
    <w:p>
      <w:r>
        <w:rPr>
          <w:rFonts w:ascii="Arial" w:hAnsi="Arial"/>
        </w:rPr>
        <w:t>Preencha os campos de resposta neste Word ou em um relatório com a mesma numeração. Todas as soluções comentadas estão somente nas quatro últimas páginas.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ANTES DE COMEÇAR</w:t>
      </w:r>
    </w:p>
    <w:p>
      <w:pPr>
        <w:pStyle w:val="Heading1"/>
      </w:pPr>
      <w:r>
        <w:t>Acesso pelo computador ou celular</w:t>
      </w:r>
    </w:p>
    <w:p>
      <w:r>
        <w:rPr>
          <w:rFonts w:ascii="Arial" w:hAnsi="Arial"/>
        </w:rPr>
        <w:t>Abra o endereço divulgado pelo professor no Chrome, Firefox ou outro navegador atual. No computador, o mesmo laboratório pode ser aberto por index.html, na pasta extraída. No celular, prefira o endereço HTTPS publicado; a pré-visualização de anexos não é o site.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shd w:fill="143A41"/>
          </w:tcPr>
          <w:p>
            <w:r>
              <w:rPr>
                <w:b/>
                <w:color w:val="FFFFFF"/>
                <w:sz w:val="18"/>
              </w:rPr>
              <w:t>Disponível nesta edição</w:t>
            </w:r>
          </w:p>
        </w:tc>
        <w:tc>
          <w:tcPr>
            <w:tcW w:type="dxa" w:w="6265"/>
            <w:shd w:fill="143A41"/>
          </w:tcPr>
          <w:p>
            <w:r>
              <w:rPr>
                <w:b/>
                <w:color w:val="FFFFFF"/>
                <w:sz w:val="18"/>
              </w:rPr>
              <w:t>Não é necessário / não está incluído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Biblioteca inicial incorporada ao HTML; pesquisa por termos; dados e calculadora.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Não há banco remoto, conta do laboratório nem extração automática de PDF.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Ponte manual com um chat de IA escolhido pelo participante.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Não há chave de API, chamada automática paga nem modelo instalado no HTML.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Notas, fichas, tarefas, registros e exportação de um projeto pessoal.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Não há sincronização entre alunos ou publicação dos seus registros.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pPr>
        <w:pStyle w:val="Heading2"/>
      </w:pPr>
      <w:r>
        <w:t>Para usar um modelo real</w:t>
      </w:r>
    </w:p>
    <w:p>
      <w:pPr>
        <w:spacing w:after="140"/>
        <w:ind w:left="238" w:hanging="238"/>
      </w:pPr>
      <w:r>
        <w:rPr>
          <w:rFonts w:ascii="Arial" w:hAnsi="Arial"/>
        </w:rPr>
        <w:t>1. Mantenha o laboratório em uma aba. Em outra aba ou aplicativo, abra um chat de IA que você esteja autorizado a usar.</w:t>
      </w:r>
    </w:p>
    <w:p>
      <w:pPr>
        <w:spacing w:after="140"/>
        <w:ind w:left="238" w:hanging="238"/>
      </w:pPr>
      <w:r>
        <w:rPr>
          <w:rFonts w:ascii="Arial" w:hAnsi="Arial"/>
        </w:rPr>
        <w:t>2. Use o texto completo preparado pelo site; não envie apenas o nome de uma ação. Volte à mesma aba depois de receber a resposta.</w:t>
      </w:r>
    </w:p>
    <w:p>
      <w:pPr>
        <w:spacing w:after="140"/>
        <w:ind w:left="238" w:hanging="238"/>
      </w:pPr>
      <w:r>
        <w:rPr>
          <w:rFonts w:ascii="Arial" w:hAnsi="Arial"/>
        </w:rPr>
        <w:t>3. Não compartilhe senhas nem chaves. O serviço externo pode ter limites, inclusive nas contas gratuitas. A turma pode acompanhar a ponte demonstrada pelo professor, sem contratar um plano.</w:t>
      </w:r>
    </w:p>
    <w:p>
      <w:pPr>
        <w:spacing w:after="140"/>
        <w:ind w:left="238" w:hanging="238"/>
      </w:pPr>
      <w:r>
        <w:rPr>
          <w:rFonts w:ascii="Arial" w:hAnsi="Arial"/>
        </w:rPr>
        <w:t>4. Exporte o projeto antes de fechar. Trocar de aplicativo não deve encerrar o pedido; se a página for recarregada, confira se houve recuperação do pedido nesta aba. Não suponha continuidade automática. Ideias e notas persistem conforme as permissões do navegador.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Sem acesso a LLM: acompanhe a demonstração do professor ou compare os modos sem modelo. Identifique a origem de cada execução. Um JSON escrito à mão testa o contrato, mas não comprova que uma rede escolheu aquela ação.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A hospedagem entrega os arquivos. As buscas e ferramentas rodam no navegador. A continuidade do ciclo exige voltar à página e transportar as mensagens: nada trabalha em segundo plano após o encerramento da página.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VISÃO GLOBAL ANTES DOS DETALHES</w:t>
      </w:r>
    </w:p>
    <w:p>
      <w:pPr>
        <w:pStyle w:val="Heading1"/>
      </w:pPr>
      <w:r>
        <w:t>O modelo no centro; os módulos ao redor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5760000" cy="2899862"/>
            <wp:docPr id="2" name="Picture 2" descr="“02 · Como funciona”: mapa funcional da edição entregue. O contorno do coordenador representa controle, não um componente dentro da red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itectur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99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Arial" w:hAnsi="Arial"/>
        </w:rPr>
        <w:t>“02 · Como funciona”: mapa funcional da edição entregue. O contorno do coordenador representa controle, não um componente dentro da rede.</w:t>
      </w:r>
    </w:p>
    <w:p>
      <w:r>
        <w:rPr>
          <w:rFonts w:ascii="Arial" w:hAnsi="Arial"/>
        </w:rPr>
        <w:t>O modelo de linguagem recebe contexto e pode propor uma ação. O coordenador prepara as mensagens, verifica a proposta e chama a função permitida. A ferramenta devolve dados ou um erro; essa observação alimenta uma nova consulta ao modelo.</w:t>
      </w:r>
    </w:p>
    <w:p>
      <w:r>
        <w:rPr>
          <w:rFonts w:ascii="Arial" w:hAnsi="Arial"/>
        </w:rPr>
        <w:t>Interface, biblioteca, catálogo, calculadora, estado e revisão humana colaboram com funções distintas. Nesta implementação não são todos redes neurais e não ficam dentro das cabeças de atenção do Transformer.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shd w:fill="143A41"/>
          </w:tcPr>
          <w:p>
            <w:r>
              <w:rPr>
                <w:b/>
                <w:color w:val="FFFFFF"/>
                <w:sz w:val="18"/>
              </w:rPr>
              <w:t>Camada da navegação</w:t>
            </w:r>
          </w:p>
        </w:tc>
        <w:tc>
          <w:tcPr>
            <w:tcW w:type="dxa" w:w="6265"/>
            <w:shd w:fill="143A41"/>
          </w:tcPr>
          <w:p>
            <w:r>
              <w:rPr>
                <w:b/>
                <w:color w:val="FFFFFF"/>
                <w:sz w:val="18"/>
              </w:rPr>
              <w:t>O que observar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01 · O projeto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A necessidade do usuário, as fontes, os vídeos e o pedido de ajuda.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02 · Como funciona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A arquitetura completa, a ponte JSON e a atividade registrada.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03 · Explorar os módulos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O detalhe das funções; o menu de Biblioteca, Laboratório, Caderno e Local ou nuvem?.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O acesso “Material de aula” fica separado. Entre módulos circulam consultas, fragmentos, objetos JSON e resultados. Os tensores e o processo interno do modelo não são exibidos aqui. [S1]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A PONTE MANUAL • LEITURA DE APOIO</w:t>
      </w:r>
    </w:p>
    <w:p>
      <w:pPr>
        <w:pStyle w:val="Heading1"/>
      </w:pPr>
      <w:r>
        <w:t>O que vai ao modelo e o que volta</w:t>
      </w:r>
    </w:p>
    <w:p>
      <w:r>
        <w:rPr>
          <w:rFonts w:ascii="Arial" w:hAnsi="Arial"/>
        </w:rPr>
        <w:t>Na ida, o site prepara um prompt: instruções em linguagem natural, objetivo, catálogo de ações e observações. Esse texto contém blocos estruturados, mas não é apenas um “arquivo JSON”. Copie tudo. Na volta, o modelo deve produzir um único objeto JSON com a próxima ação.</w:t>
      </w:r>
    </w:p>
    <w:p>
      <w:pPr>
        <w:pStyle w:val="Codigo"/>
        <w:shd w:fill="F1F5F7"/>
      </w:pPr>
      <w:r>
        <w:rPr>
          <w:rFonts w:ascii="DejaVu Sans Mono" w:hAnsi="DejaVu Sans Mono"/>
          <w:sz w:val="18"/>
        </w:rPr>
        <w:t>{</w:t>
        <w:br/>
        <w:t xml:space="preserve">  "acao": "buscar_fontes",</w:t>
        <w:br/>
        <w:t xml:space="preserve">  "argumentos": {"consulta": "Site 145"}</w:t>
        <w:br/>
        <w:t>}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shd w:fill="143A41"/>
          </w:tcPr>
          <w:p>
            <w:r>
              <w:rPr>
                <w:b/>
                <w:color w:val="FFFFFF"/>
                <w:sz w:val="18"/>
              </w:rPr>
              <w:t>Parte</w:t>
            </w:r>
          </w:p>
        </w:tc>
        <w:tc>
          <w:tcPr>
            <w:tcW w:type="dxa" w:w="6265"/>
            <w:shd w:fill="143A41"/>
          </w:tcPr>
          <w:p>
            <w:r>
              <w:rPr>
                <w:b/>
                <w:color w:val="FFFFFF"/>
                <w:sz w:val="18"/>
              </w:rPr>
              <w:t>Significado neste contrato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acao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Nome exato de uma operação permitida, neste exemplo buscar_fontes.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argumentos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Objeto que reúne os dados da solicitação; aqui contém consulta.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consulta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Texto que a função de busca deve receber. Não é o resultado da busca.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JSON significa JavaScript Object Notation: um formato textual para dados estruturados. Usa chaves para objetos, nomes entre aspas duplas e valores. Os nomes das ações deste laboratório são definidos pelo seu programa, não pelo padrão JSON. [T1]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O objeto acima é um exemplo de formato. Escrevê-lo ou recebê-lo não executa nada. A execução ocorre depois de “2 · Validar e executar o JSON”, quando o programa aceita a proposta e chama a função.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O ciclo externo é: pedido → contexto → modelo → proposta → validação → ferramenta → observação → novo contexto. O motor da rede continua produzindo tokens; é a aplicação que interpreta o texto resultante como uma solicitação. A ponte manual não é uma API nativa nem MCP. [S1, T2]</w:t>
      </w:r>
    </w:p>
    <w:p>
      <w:r>
        <w:rPr>
          <w:rFonts w:ascii="Arial" w:hAnsi="Arial"/>
        </w:rPr>
        <w:t>Ela permite utilizar um modelo local ou remoto acessível por chat. A escolha manual evita integrar uma API nesta versão; não decorre simplesmente da falta de um modelo instalado no seu computador.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ATIVIDADE 1 • PROJETO E ARQUITETURA</w:t>
      </w:r>
    </w:p>
    <w:p>
      <w:pPr>
        <w:pStyle w:val="Heading1"/>
      </w:pPr>
      <w:r>
        <w:t>Primeiro identifique a ajuda que o usuário precisa</w:t>
      </w:r>
    </w:p>
    <w:p>
      <w:pPr>
        <w:spacing w:after="140"/>
        <w:ind w:left="238" w:hanging="238"/>
      </w:pPr>
      <w:r>
        <w:rPr>
          <w:rFonts w:ascii="Arial" w:hAnsi="Arial"/>
        </w:rPr>
        <w:t>1. Em “01 · O projeto”, leia a apresentação. Abra um dos vídeos apenas se quiser conhecer a proposta na voz do pesquisador; não é necessário assistir a tudo.</w:t>
      </w:r>
    </w:p>
    <w:p>
      <w:pPr>
        <w:spacing w:after="140"/>
        <w:ind w:left="238" w:hanging="238"/>
      </w:pPr>
      <w:r>
        <w:rPr>
          <w:rFonts w:ascii="Arial" w:hAnsi="Arial"/>
        </w:rPr>
        <w:t>2. Em “Definir o objetivo do meu projeto”, leia o objetivo existente. Escreva uma formulação curta e clique em “Guardar objetivo”.</w:t>
      </w:r>
    </w:p>
    <w:p>
      <w:pPr>
        <w:spacing w:after="140"/>
        <w:ind w:left="238" w:hanging="238"/>
      </w:pPr>
      <w:r>
        <w:rPr>
          <w:rFonts w:ascii="Arial" w:hAnsi="Arial"/>
        </w:rPr>
        <w:t>3. Abra “02 · Como funciona”. Observe o modelo central e as funções ao redor. Não execute uma tarefa ainda.</w:t>
      </w:r>
    </w:p>
    <w:p>
      <w:pPr>
        <w:spacing w:after="140"/>
        <w:ind w:left="238" w:hanging="238"/>
      </w:pPr>
      <w:r>
        <w:rPr>
          <w:rFonts w:ascii="Arial" w:hAnsi="Arial"/>
        </w:rPr>
        <w:t>4. Clique em uma caixa para abrir sua explicação detalhada. Depois volte ao mapa pelo menu superior.</w:t>
      </w:r>
    </w:p>
    <w:p>
      <w:pPr>
        <w:keepNext/>
      </w:pPr>
      <w:r>
        <w:rPr>
          <w:rFonts w:ascii="Arial" w:hAnsi="Arial"/>
          <w:b/>
        </w:rPr>
        <w:t>Questão 1. Qual dificuldade concreta do usuário este projeto procura reduzir? Indique um primeiro produto útil, sem avaliar a hipótese histórica.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2. Escolha dois módulos e registre o que cada um recebe e devolve. Indique uma ligação entre eles, direta ou mediada pelo coordenador.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3. No uso por ponte manual, onde funciona o modelo e onde funcionam as ferramentas deste site? Explique por que estar no centro do desenho não significa estar dentro do HTML.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Evidência: uma captura do mapa e duas setas anotadas com os dados que atravessam cada ligação.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ATIVIDADE 2 • LLM REAL, TRANSPORTE MANUAL</w:t>
      </w:r>
    </w:p>
    <w:p>
      <w:pPr>
        <w:pStyle w:val="Heading1"/>
      </w:pPr>
      <w:r>
        <w:t>Faça uma pergunta e execute a primeira proposta</w:t>
      </w:r>
    </w:p>
    <w:p>
      <w:pPr>
        <w:spacing w:after="140"/>
        <w:ind w:left="238" w:hanging="238"/>
      </w:pPr>
      <w:r>
        <w:rPr>
          <w:rFonts w:ascii="Arial" w:hAnsi="Arial"/>
        </w:rPr>
        <w:t>1. Volte a “01 · O projeto”. Na caixa “Sua pergunta ou pedido”, escreva: “Fale-me do Site 145 com base nos materiais disponíveis e indique as limitações dessas fontes”.</w:t>
      </w:r>
    </w:p>
    <w:p>
      <w:pPr>
        <w:spacing w:after="140"/>
        <w:ind w:left="238" w:hanging="238"/>
      </w:pPr>
      <w:r>
        <w:rPr>
          <w:rFonts w:ascii="Arial" w:hAnsi="Arial"/>
        </w:rPr>
        <w:t>2. Clique em “Pedir ajuda à IA”. Informe, opcionalmente, o nome do serviço/modelo que conhece. Não adivinhe a versão e não informe credenciais.</w:t>
      </w:r>
    </w:p>
    <w:p>
      <w:pPr>
        <w:spacing w:after="140"/>
        <w:ind w:left="238" w:hanging="238"/>
      </w:pPr>
      <w:r>
        <w:rPr>
          <w:rFonts w:ascii="Arial" w:hAnsi="Arial"/>
        </w:rPr>
        <w:t>3. Abra “Conferir o texto completo que será enviado à IA”. Observe pergunta, regras, ações e observações.</w:t>
      </w:r>
    </w:p>
    <w:p>
      <w:pPr>
        <w:spacing w:after="140"/>
        <w:ind w:left="238" w:hanging="238"/>
      </w:pPr>
      <w:r>
        <w:rPr>
          <w:rFonts w:ascii="Arial" w:hAnsi="Arial"/>
        </w:rPr>
        <w:t>4. Clique em “1 · Copiar contexto completo para a IA”. Cole todo o texto no chat externo e envie. No celular, use a troca de abas ou aplicativos sem fechar o laboratório.</w:t>
      </w:r>
    </w:p>
    <w:p>
      <w:pPr>
        <w:spacing w:after="140"/>
        <w:ind w:left="238" w:hanging="238"/>
      </w:pPr>
      <w:r>
        <w:rPr>
          <w:rFonts w:ascii="Arial" w:hAnsi="Arial"/>
        </w:rPr>
        <w:t>5. Copie somente o objeto JSON produzido pelo modelo. Volte ao campo de resposta do site e cole. Leia o aviso: ainda não foi executado.</w:t>
      </w:r>
    </w:p>
    <w:p>
      <w:pPr>
        <w:spacing w:after="140"/>
        <w:ind w:left="238" w:hanging="238"/>
      </w:pPr>
      <w:r>
        <w:rPr>
          <w:rFonts w:ascii="Arial" w:hAnsi="Arial"/>
        </w:rPr>
        <w:t>6. Clique em “2 · Validar e executar o JSON”. Se a proposta pedir uma busca, veja os fragmentos e suas referências abaixo. A ordem real pode variar; registre o que aconteceu.</w:t>
      </w:r>
    </w:p>
    <w:p>
      <w:pPr>
        <w:keepNext/>
      </w:pPr>
      <w:r>
        <w:rPr>
          <w:rFonts w:ascii="Arial" w:hAnsi="Arial"/>
          <w:b/>
        </w:rPr>
        <w:t>Questão 4. Identifique a pergunta original, uma regra e uma descrição de ferramenta no texto levado ao modelo. O que diferencia esse texto completo da resposta JSON?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5. Registre uma proposta efetivamente recebida, seu campo acao e um argumento. O que ocorreu antes e depois de clicar para validar?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6. Quem escolheu a operação nesta rodada e quem a executou? Como você distingue a proposta de uma observação real?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Evidência: serviço usado, proposta recebida e trecho do registro da execução. Se acompanhar a demonstração do professor, declare isso. Não entregue pensamentos internos ou credenciais.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ATIVIDADE 2 • FECHANDO O CICLO</w:t>
      </w:r>
    </w:p>
    <w:p>
      <w:pPr>
        <w:pStyle w:val="Heading1"/>
      </w:pPr>
      <w:r>
        <w:t>Devolva o resultado antes de pedir o próximo passo</w:t>
      </w:r>
    </w:p>
    <w:p>
      <w:pPr>
        <w:spacing w:after="140"/>
        <w:ind w:left="238" w:hanging="238"/>
      </w:pPr>
      <w:r>
        <w:rPr>
          <w:rFonts w:ascii="Arial" w:hAnsi="Arial"/>
        </w:rPr>
        <w:t>1. Depois da busca, clique em “3 · Copiar resultados + pergunta para a IA”. Esse botão inclui as instruções, a pergunta e as observações realmente produzidas.</w:t>
      </w:r>
    </w:p>
    <w:p>
      <w:pPr>
        <w:spacing w:after="140"/>
        <w:ind w:left="238" w:hanging="238"/>
      </w:pPr>
      <w:r>
        <w:rPr>
          <w:rFonts w:ascii="Arial" w:hAnsi="Arial"/>
        </w:rPr>
        <w:t>2. Leve o texto atualizado à mesma conversa com o modelo. Não reenvie apenas o JSON buscar_fontes nem repita o prompt inicial sem as observações.</w:t>
      </w:r>
    </w:p>
    <w:p>
      <w:pPr>
        <w:spacing w:after="140"/>
        <w:ind w:left="238" w:hanging="238"/>
      </w:pPr>
      <w:r>
        <w:rPr>
          <w:rFonts w:ascii="Arial" w:hAnsi="Arial"/>
        </w:rPr>
        <w:t>3. Traga o novo JSON e valide-o. Para uma pergunta informativa, a ação finalizar deve conter a explicação em argumentos.texto. Ela não deve ser apenas a palavra “concluído”.</w:t>
      </w:r>
    </w:p>
    <w:p>
      <w:pPr>
        <w:spacing w:after="140"/>
        <w:ind w:left="238" w:hanging="238"/>
      </w:pPr>
      <w:r>
        <w:rPr>
          <w:rFonts w:ascii="Arial" w:hAnsi="Arial"/>
        </w:rPr>
        <w:t>4. Continue somente quando houver uma operação útil. O limite é de dez ações por pedido. “Encerrar pedido” interrompe o ciclo. Uma ação repetida sem necessidade será recusada.</w:t>
      </w:r>
    </w:p>
    <w:p>
      <w:pPr>
        <w:spacing w:after="140"/>
        <w:ind w:left="238" w:hanging="238"/>
      </w:pPr>
      <w:r>
        <w:rPr>
          <w:rFonts w:ascii="Arial" w:hAnsi="Arial"/>
        </w:rPr>
        <w:t>5. Abra “02 · Como funciona” para ver a atividade. Para entradas e saídas completas, vá a “03 · Explorar os módulos” → “Laboratório” e abra “Ver dados de entrada e saída”.</w:t>
      </w:r>
    </w:p>
    <w:p>
      <w:pPr>
        <w:keepNext/>
      </w:pPr>
      <w:r>
        <w:rPr>
          <w:rFonts w:ascii="Arial" w:hAnsi="Arial"/>
          <w:b/>
        </w:rPr>
        <w:t>Questão 7. Que informações apareceram no contexto somente depois da ferramenta? Explique o risco de pedir que o modelo continue sem receber esse resultado.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8. A resposta final respeita as fontes realmente recuperadas? Indique um limite declarado ou uma afirmação que precisaria de verificação. Avalie a procedência, não a hipótese histórica.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pStyle w:val="Heading2"/>
      </w:pPr>
      <w:r>
        <w:t>Quando algo não funciona</w:t>
      </w:r>
    </w:p>
    <w:p>
      <w:r>
        <w:rPr>
          <w:rFonts w:ascii="Arial" w:hAnsi="Arial"/>
        </w:rPr>
        <w:t>Sem cópia automática: “Selecionar texto completo” permite copiar manualmente; “Salvar instruções em TXT” conserva o pedido. JSON inválido: leia a recusa e peça ao modelo um único objeto no formato exigido. Não corrija alterando as permissões. Se a resposta repetir a busca, envie o contexto atualizado e peça a conclusão quando já houver material suficiente.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Não há promessa de resposta perfeita de qualquer modelo. Uma falha bem documentada também é uma observação válida. Nunca apresente um exemplo preparado como se fosse uma inferência ao vivo.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ATIVIDADE 3 • BIBLIOTECA E CONTEXTO</w:t>
      </w:r>
    </w:p>
    <w:p>
      <w:pPr>
        <w:pStyle w:val="Heading1"/>
      </w:pPr>
      <w:r>
        <w:t>Acrescente informação sem treinar a rede</w:t>
      </w:r>
    </w:p>
    <w:p>
      <w:pPr>
        <w:spacing w:after="140"/>
        <w:ind w:left="238" w:hanging="238"/>
      </w:pPr>
      <w:r>
        <w:rPr>
          <w:rFonts w:ascii="Arial" w:hAnsi="Arial"/>
        </w:rPr>
        <w:t>1. Na página do projeto, clique em “Consultar o acervo”. Pesquise “Stonehenge eixo” e examine identificador, tipo, localização e fragmento.</w:t>
      </w:r>
    </w:p>
    <w:p>
      <w:pPr>
        <w:spacing w:after="140"/>
        <w:ind w:left="238" w:hanging="238"/>
      </w:pPr>
      <w:r>
        <w:rPr>
          <w:rFonts w:ascii="Arial" w:hAnsi="Arial"/>
        </w:rPr>
        <w:t>2. Clique em “Adicionar informação”. Título: “Plano de revisão AURORA27”. Origem: “Nota didática do participante”. Conteúdo: “AURORA27: revisar a escolha dos pontos e registrar a versão de cada medição antes de comparar os resultados”.</w:t>
      </w:r>
    </w:p>
    <w:p>
      <w:pPr>
        <w:spacing w:after="140"/>
        <w:ind w:left="238" w:hanging="238"/>
      </w:pPr>
      <w:r>
        <w:rPr>
          <w:rFonts w:ascii="Arial" w:hAnsi="Arial"/>
        </w:rPr>
        <w:t>3. Clique em “Incorporar à coleção local”. Pesquise AURORA27 e confira o resultado. A ficha é uma nota do participante, não evidência histórica.</w:t>
      </w:r>
    </w:p>
    <w:p>
      <w:pPr>
        <w:spacing w:after="140"/>
        <w:ind w:left="238" w:hanging="238"/>
      </w:pPr>
      <w:r>
        <w:rPr>
          <w:rFonts w:ascii="Arial" w:hAnsi="Arial"/>
        </w:rPr>
        <w:t>4. Opcionalmente, inicie outro pedido na primeira página solicitando uma síntese dessa nota. Observe se a IA pede uma busca que recupere o marcador. Só a nota recuperada e enviada entra no contexto.</w:t>
      </w:r>
    </w:p>
    <w:p>
      <w:pPr>
        <w:keepNext/>
      </w:pPr>
      <w:r>
        <w:rPr>
          <w:rFonts w:ascii="Arial" w:hAnsi="Arial"/>
          <w:b/>
        </w:rPr>
        <w:t>Questão 9. O que mudou ao acrescentar a nota: os arquivos publicados, a coleção local, os pesos do modelo ou mais de uma dessas coisas? Justifique com o funcionamento observado.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10. Diferencie guardar um documento, recuperar um fragmento e usá-lo para gerar uma resposta. Em qual dessas etapas o modelo participa?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11. O buscador por termos não encontrou uma informação. Isso prova que ela não existe no livro completo ou em relatórios externos? Considere a amostra disponível.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r>
        <w:rPr>
          <w:rFonts w:ascii="Arial" w:hAnsi="Arial"/>
        </w:rPr>
        <w:t>A biblioteca inicial tem 15 fichas; a nota adicionada aumenta apenas a sua coleção. TXT/MD até 1 MB podem ser lidos, respeitando 40.000 caracteres por ficha. Esta versão não extrai PDFs nem busca na Internet. [S1]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Evidência: ficha e resultado de busca, com origem. Exporte o projeto para guardar a nota; ela não é sincronizada com os colegas.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ATIVIDADE 4 • COMPARAÇÃO E FALHAS</w:t>
      </w:r>
    </w:p>
    <w:p>
      <w:pPr>
        <w:pStyle w:val="Heading1"/>
      </w:pPr>
      <w:r>
        <w:t>Retire uma peça depois de observar o conjunto</w:t>
      </w:r>
    </w:p>
    <w:p>
      <w:pPr>
        <w:spacing w:after="140"/>
        <w:ind w:left="238" w:hanging="238"/>
      </w:pPr>
      <w:r>
        <w:rPr>
          <w:rFonts w:ascii="Arial" w:hAnsi="Arial"/>
        </w:rPr>
        <w:t>1. Abra “03 · Explorar os módulos” → “Laboratório”. Selecione “Fluxo fixo · sequência programada, sem LLM” e “Consultar fontes e conferir uma medição”. Escolha Stonehenge.</w:t>
      </w:r>
    </w:p>
    <w:p>
      <w:pPr>
        <w:spacing w:after="140"/>
        <w:ind w:left="238" w:hanging="238"/>
      </w:pPr>
      <w:r>
        <w:rPr>
          <w:rFonts w:ascii="Arial" w:hAnsi="Arial"/>
        </w:rPr>
        <w:t>2. Ative os recursos. Marque “Experimento: retirar B apenas da cópia desta execução”. Clique em “Iniciar encargo” e avance com “Próxima etapa” até encerrar.</w:t>
      </w:r>
    </w:p>
    <w:p>
      <w:pPr>
        <w:spacing w:after="140"/>
        <w:ind w:left="238" w:hanging="238"/>
      </w:pPr>
      <w:r>
        <w:rPr>
          <w:rFonts w:ascii="Arial" w:hAnsi="Arial"/>
        </w:rPr>
        <w:t>3. Exporte o registro. Repita com “Agente guiado · decisões simuladas por regras”, mantendo a falta de B. Compare as operações.</w:t>
      </w:r>
    </w:p>
    <w:p>
      <w:pPr>
        <w:spacing w:after="140"/>
        <w:ind w:left="238" w:hanging="238"/>
      </w:pPr>
      <w:r>
        <w:rPr>
          <w:rFonts w:ascii="Arial" w:hAnsi="Arial"/>
        </w:rPr>
        <w:t>4. Desmarque a falta de B, desative “Cálculo” e inicie outro pedido. Observe o que ainda pode ser feito.</w:t>
      </w:r>
    </w:p>
    <w:p>
      <w:pPr>
        <w:spacing w:after="140"/>
        <w:ind w:left="238" w:hanging="238"/>
      </w:pPr>
      <w:r>
        <w:rPr>
          <w:rFonts w:ascii="Arial" w:hAnsi="Arial"/>
        </w:rPr>
        <w:t>5. Clique em “Tentar ação ‘publicar’”. Registre a recusa. O botão é um teste; não publica conteúdo. Reative os recursos e inicie uma nova execução antes de voltar à ponte.</w:t>
      </w:r>
    </w:p>
    <w:p>
      <w:pPr>
        <w:keepNext/>
      </w:pPr>
      <w:r>
        <w:rPr>
          <w:rFonts w:ascii="Arial" w:hAnsi="Arial"/>
          <w:b/>
        </w:rPr>
        <w:t>Questão 12. Compare a sequência fixa e a guiada quando falta B. O que falha ou deixa de ser tentado? Que dependência foi exposta?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13. Qual diferença existe entre a origem das decisões nesses dois modos e na ponte com um LLM real? Uma adaptação por regras prova participação de um Transformer?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14. Que regra deve impedir uma ação desconhecida, ainda que tenha sido pedida pelo modelo? O que significa aceitar a estrutura do JSON e o que isso não garante?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Evidência: dois registros com o modo identificado e uma recusa. Alterar recursos vale para a próxima execução, iniciada por “Iniciar encargo”. Os dados originais não são modificados.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ATIVIDADE 5 • DESENVOLVER E CONSERVAR</w:t>
      </w:r>
    </w:p>
    <w:p>
      <w:pPr>
        <w:pStyle w:val="Heading1"/>
      </w:pPr>
      <w:r>
        <w:t>Faça o projeto avançar, não apenas responder</w:t>
      </w:r>
    </w:p>
    <w:p>
      <w:pPr>
        <w:spacing w:after="140"/>
        <w:ind w:left="238" w:hanging="238"/>
      </w:pPr>
      <w:r>
        <w:rPr>
          <w:rFonts w:ascii="Arial" w:hAnsi="Arial"/>
        </w:rPr>
        <w:t>1. Em “01 · O projeto”, solicite: “Organize as fontes sobre Stonehenge em uma ficha, proponha uma tarefa de revisão e não publique nada”. Use a ponte até criar o rascunho e encerrar.</w:t>
      </w:r>
    </w:p>
    <w:p>
      <w:pPr>
        <w:spacing w:after="140"/>
        <w:ind w:left="238" w:hanging="238"/>
      </w:pPr>
      <w:r>
        <w:rPr>
          <w:rFonts w:ascii="Arial" w:hAnsi="Arial"/>
        </w:rPr>
        <w:t>2. Abra “Continuar meu trabalho” ou “Caderno do projeto”. Leia a ficha, confira fontes e estado. Só depois use “Aprovar nesta cópia”.</w:t>
      </w:r>
    </w:p>
    <w:p>
      <w:pPr>
        <w:spacing w:after="140"/>
        <w:ind w:left="238" w:hanging="238"/>
      </w:pPr>
      <w:r>
        <w:rPr>
          <w:rFonts w:ascii="Arial" w:hAnsi="Arial"/>
        </w:rPr>
        <w:t>3. Acrescente uma tarefa em “Nova tarefa”. Marque-a como concluída e reabra-a.</w:t>
      </w:r>
    </w:p>
    <w:p>
      <w:pPr>
        <w:spacing w:after="140"/>
        <w:ind w:left="238" w:hanging="238"/>
      </w:pPr>
      <w:r>
        <w:rPr>
          <w:rFonts w:ascii="Arial" w:hAnsi="Arial"/>
        </w:rPr>
        <w:t>4. Use “Exportar projeto”. Guarde o JSON com suas respostas e capturas. Para testar “Importar projeto”, faça antes uma cópia independente: a importação substitui o estado atual.</w:t>
      </w:r>
    </w:p>
    <w:p>
      <w:pPr>
        <w:spacing w:after="140"/>
        <w:ind w:left="238" w:hanging="238"/>
      </w:pPr>
      <w:r>
        <w:rPr>
          <w:rFonts w:ascii="Arial" w:hAnsi="Arial"/>
        </w:rPr>
        <w:t>5. Opcional: desative “Persistência local” no Laboratório e acrescente uma nota. Examine o aviso. O estado existe na página, mas as próximas gravações automáticas ficam desativadas.</w:t>
      </w:r>
    </w:p>
    <w:p>
      <w:pPr>
        <w:keepNext/>
      </w:pPr>
      <w:r>
        <w:rPr>
          <w:rFonts w:ascii="Arial" w:hAnsi="Arial"/>
          <w:b/>
        </w:rPr>
        <w:t>Questão 15. Diferencie rascunho pendente, aprovação nesta cópia e publicação para todos. Qual dessas operações não está disponível nesta edição?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16. Compare o JSON de uma ação com o JSON de “Exportar projeto”. Em que lugar cada um deve ser usado?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17. Para continuar em outro aparelho, o que você precisa transportar? Por que deixar a página publicada não mantém seu agente trabalhando após fechar o celular?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Evidência: rascunho revisado, decisão registrada e backup JSON. O site não envia o trabalho automaticamente ao professor. Use o canal indicado na disciplina.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EXPLORAÇÃO OPCIONAL</w:t>
      </w:r>
    </w:p>
    <w:p>
      <w:pPr>
        <w:pStyle w:val="Heading1"/>
      </w:pPr>
      <w:r>
        <w:t>A mesma calculadora, duas formas de pedir</w:t>
      </w:r>
    </w:p>
    <w:p>
      <w:r>
        <w:rPr>
          <w:rFonts w:ascii="Arial" w:hAnsi="Arial"/>
        </w:rPr>
        <w:t>Abra “Explorar alinhamentos” na primeira página ou “Explorar alinhamento” no cabeçalho das telas detalhadas. Esta janela não é obrigatória para compreender a arquitetura.</w:t>
      </w:r>
    </w:p>
    <w:p>
      <w:pPr>
        <w:spacing w:after="140"/>
        <w:ind w:left="238" w:hanging="238"/>
      </w:pPr>
      <w:r>
        <w:rPr>
          <w:rFonts w:ascii="Arial" w:hAnsi="Arial"/>
        </w:rPr>
        <w:t>1. Carregue Stonehenge. Confira A, B e “Limites originais desta aba”. Clique em “Calcular”.</w:t>
      </w:r>
    </w:p>
    <w:p>
      <w:pPr>
        <w:spacing w:after="140"/>
        <w:ind w:left="238" w:hanging="238"/>
      </w:pPr>
      <w:r>
        <w:rPr>
          <w:rFonts w:ascii="Arial" w:hAnsi="Arial"/>
        </w:rPr>
        <w:t>2. Abra “Ver por dentro”. Observe entradas, método, ângulos, intervalo e diagnóstico adicional.</w:t>
      </w:r>
    </w:p>
    <w:p>
      <w:pPr>
        <w:spacing w:after="140"/>
        <w:ind w:left="238" w:hanging="238"/>
      </w:pPr>
      <w:r>
        <w:rPr>
          <w:rFonts w:ascii="Arial" w:hAnsi="Arial"/>
        </w:rPr>
        <w:t>3. Inverta A e B e calcule de novo. Compare o teste angular e a semirreta, sem tratar esses critérios como equivalentes.</w:t>
      </w:r>
    </w:p>
    <w:p>
      <w:pPr>
        <w:spacing w:after="140"/>
        <w:ind w:left="238" w:hanging="238"/>
      </w:pPr>
      <w:r>
        <w:rPr>
          <w:rFonts w:ascii="Arial" w:hAnsi="Arial"/>
        </w:rPr>
        <w:t>4. Somente depois, compare com “Região S dos métodos do artigo · ±2′”. Essa escolha altera explicitamente o destino; não corrige o XLS original.</w:t>
      </w:r>
    </w:p>
    <w:p>
      <w:pPr>
        <w:spacing w:after="140"/>
        <w:ind w:left="238" w:hanging="238"/>
      </w:pPr>
      <w:r>
        <w:rPr>
          <w:rFonts w:ascii="Arial" w:hAnsi="Arial"/>
        </w:rPr>
        <w:t>5. Feche a janela e volte à tarefa principal. “Adicionar ao projeto” é opcional e guarda uma ficha local.</w:t>
      </w:r>
    </w:p>
    <w:p>
      <w:pPr>
        <w:keepNext/>
      </w:pPr>
      <w:r>
        <w:rPr>
          <w:rFonts w:ascii="Arial" w:hAnsi="Arial"/>
          <w:b/>
        </w:rPr>
        <w:t>Questão 18. Por que esta ferramenta funciona sem LLM? O que muda quando o coordenador a executa após uma proposta do modelo?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</w:pPr>
      <w:r>
        <w:rPr>
          <w:rFonts w:ascii="Arial" w:hAnsi="Arial"/>
          <w:b/>
        </w:rPr>
        <w:t>Questão 19. Quais dados, fontes e versões do método devem acompanhar o resultado? Diferencie reproduzir uma fórmula de comprovar a interpretação histórica.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r>
        <w:rPr>
          <w:rFonts w:ascii="Arial" w:hAnsi="Arial"/>
        </w:rPr>
        <w:t>O método reproduz ATAN(ABS(Δlatitude)/ABS(Δlongitude)) em graus e um intervalo estrito. O diagnóstico de interseção é uma análise adicional no plano longitude/latitude. Não é uma calculadora geodésica de loxodromas. [S1, F1, F2]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Não preencha o ponto ausente com uma coordenada inventada para conseguir uma resposta. A função pode recusar uma operação e ainda assim estar funcionando corretamente.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ATIVIDADE 6 • TRANSFERÊNCIA</w:t>
      </w:r>
    </w:p>
    <w:p>
      <w:pPr>
        <w:pStyle w:val="Heading1"/>
      </w:pPr>
      <w:r>
        <w:t>Desenhe uma ajuda para um projeto seu</w:t>
      </w:r>
    </w:p>
    <w:p>
      <w:r>
        <w:rPr>
          <w:rFonts w:ascii="Arial" w:hAnsi="Arial"/>
        </w:rPr>
        <w:t>Escolha uma ideia: organizar fontes de TCC, acompanhar experimentos, preparar uma coleção ou desenvolver materiais. Não é necessário construir outro site. Defina um primeiro produto pequeno e verificável.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shd w:fill="143A41"/>
          </w:tcPr>
          <w:p>
            <w:r>
              <w:rPr>
                <w:b/>
                <w:color w:val="FFFFFF"/>
                <w:sz w:val="18"/>
              </w:rPr>
              <w:t>Elemento</w:t>
            </w:r>
          </w:p>
        </w:tc>
        <w:tc>
          <w:tcPr>
            <w:tcW w:type="dxa" w:w="6265"/>
            <w:shd w:fill="143A41"/>
          </w:tcPr>
          <w:p>
            <w:r>
              <w:rPr>
                <w:b/>
                <w:color w:val="FFFFFF"/>
                <w:sz w:val="18"/>
              </w:rPr>
              <w:t>Sua proposta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Usuário e dificuldade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Primeiro resultado útil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Materiais, formatos e procedência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Módulos mínimos e motivo de cada um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37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Uma interface: entrada, operação e saída</w:t>
            </w:r>
          </w:p>
        </w:tc>
        <w:tc>
          <w:tcPr>
            <w:tcW w:type="dxa" w:w="6265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37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Um erro, revisão humana e continuidade</w:t>
            </w:r>
          </w:p>
        </w:tc>
        <w:tc>
          <w:tcPr>
            <w:tcW w:type="dxa" w:w="6265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________________________________________________</w:t>
              <w:br/>
              <w:t>________________________________________________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pPr>
        <w:keepNext/>
      </w:pPr>
      <w:r>
        <w:rPr>
          <w:rFonts w:ascii="Arial" w:hAnsi="Arial"/>
          <w:b/>
        </w:rPr>
        <w:t>Questão 20. Desenhe os módulos e rotule as ligações. Justifique o que seria fluxo fixo, o que poderia usar um modelo e um componente que você decidiu NÃO incluir. Indique onde o trabalho é executado.</w:t>
      </w:r>
    </w:p>
    <w:p>
      <w:pPr>
        <w:spacing w:after="200"/>
      </w:pPr>
      <w:r>
        <w:rPr>
          <w:rFonts w:ascii="Arial" w:hAnsi="Arial"/>
          <w:color w:val="76868D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A escolha de componentes deve acompanhar a necessidade. Não há obrigação de utilizar banco vetorial, vários agentes, modelo local, nuvem ou agente comercial.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CONSULTA RÁPIDA</w:t>
      </w:r>
    </w:p>
    <w:p>
      <w:pPr>
        <w:pStyle w:val="Heading1"/>
      </w:pPr>
      <w:r>
        <w:t>Os contratos realmente disponíveis</w:t>
      </w:r>
    </w:p>
    <w:p>
      <w:r>
        <w:rPr>
          <w:rFonts w:ascii="Arial" w:hAnsi="Arial"/>
        </w:rPr>
        <w:t>Ações desta aplicação, não comandos universais. O modelo escolhe entre as ações oferecidas, mas não cria permissões ao escrever outro nome. Os argumentos são validados antes de cada chamada. [S1]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13"/>
        <w:gridCol w:w="3180"/>
        <w:gridCol w:w="4144"/>
      </w:tblGrid>
      <w:tr>
        <w:trPr>
          <w:tblHeader/>
        </w:trPr>
        <w:tc>
          <w:tcPr>
            <w:tcW w:type="dxa" w:w="2313"/>
            <w:shd w:fill="143A41"/>
          </w:tcPr>
          <w:p>
            <w:r>
              <w:rPr>
                <w:b/>
                <w:color w:val="FFFFFF"/>
                <w:sz w:val="18"/>
              </w:rPr>
              <w:t>acao</w:t>
            </w:r>
          </w:p>
        </w:tc>
        <w:tc>
          <w:tcPr>
            <w:tcW w:type="dxa" w:w="3180"/>
            <w:shd w:fill="143A41"/>
          </w:tcPr>
          <w:p>
            <w:r>
              <w:rPr>
                <w:b/>
                <w:color w:val="FFFFFF"/>
                <w:sz w:val="18"/>
              </w:rPr>
              <w:t>argumentos</w:t>
            </w:r>
          </w:p>
        </w:tc>
        <w:tc>
          <w:tcPr>
            <w:tcW w:type="dxa" w:w="4144"/>
            <w:shd w:fill="143A41"/>
          </w:tcPr>
          <w:p>
            <w:r>
              <w:rPr>
                <w:b/>
                <w:color w:val="FFFFFF"/>
                <w:sz w:val="18"/>
              </w:rPr>
              <w:t>Efeito</w:t>
            </w:r>
          </w:p>
        </w:tc>
      </w:tr>
      <w:tr>
        <w:trPr>
          <w:cantSplit/>
        </w:trPr>
        <w:tc>
          <w:tcPr>
            <w:tcW w:type="dxa" w:w="231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buscar_fontes</w:t>
            </w:r>
          </w:p>
        </w:tc>
        <w:tc>
          <w:tcPr>
            <w:tcW w:type="dxa" w:w="3180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{"consulta":"Site 145"}</w:t>
            </w:r>
          </w:p>
        </w:tc>
        <w:tc>
          <w:tcPr>
            <w:tcW w:type="dxa" w:w="4144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Recupera até quatro fichas da coleção local. Não navega na Internet.</w:t>
            </w:r>
          </w:p>
        </w:tc>
      </w:tr>
      <w:tr>
        <w:trPr>
          <w:cantSplit/>
        </w:trPr>
        <w:tc>
          <w:tcPr>
            <w:tcW w:type="dxa" w:w="231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ler_medicoes</w:t>
            </w:r>
          </w:p>
        </w:tc>
        <w:tc>
          <w:tcPr>
            <w:tcW w:type="dxa" w:w="3180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{"monumento":"stonehenge"}</w:t>
            </w:r>
          </w:p>
        </w:tc>
        <w:tc>
          <w:tcPr>
            <w:tcW w:type="dxa" w:w="4144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Obtém os dados já extraídos do XLS e sua procedência.</w:t>
            </w:r>
          </w:p>
        </w:tc>
      </w:tr>
      <w:tr>
        <w:trPr>
          <w:cantSplit/>
        </w:trPr>
        <w:tc>
          <w:tcPr>
            <w:tcW w:type="dxa" w:w="231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calcular_alinhamento</w:t>
            </w:r>
          </w:p>
        </w:tc>
        <w:tc>
          <w:tcPr>
            <w:tcW w:type="dxa" w:w="3180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{}</w:t>
            </w:r>
          </w:p>
        </w:tc>
        <w:tc>
          <w:tcPr>
            <w:tcW w:type="dxa" w:w="4144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Usa a medição lida nesta execução. Recusa ausência de dados.</w:t>
            </w:r>
          </w:p>
        </w:tc>
      </w:tr>
      <w:tr>
        <w:trPr>
          <w:cantSplit/>
        </w:trPr>
        <w:tc>
          <w:tcPr>
            <w:tcW w:type="dxa" w:w="231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propor_tarefa</w:t>
            </w:r>
          </w:p>
        </w:tc>
        <w:tc>
          <w:tcPr>
            <w:tcW w:type="dxa" w:w="3180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{"titulo":"Revisar fonte"}</w:t>
            </w:r>
          </w:p>
        </w:tc>
        <w:tc>
          <w:tcPr>
            <w:tcW w:type="dxa" w:w="4144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Acrescenta uma pendência ao projeto pessoal.</w:t>
            </w:r>
          </w:p>
        </w:tc>
      </w:tr>
      <w:tr>
        <w:trPr>
          <w:cantSplit/>
        </w:trPr>
        <w:tc>
          <w:tcPr>
            <w:tcW w:type="dxa" w:w="2313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criar_rascunho</w:t>
            </w:r>
          </w:p>
        </w:tc>
        <w:tc>
          <w:tcPr>
            <w:tcW w:type="dxa" w:w="3180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{"titulo":"Ficha","texto":"..."}</w:t>
            </w:r>
          </w:p>
        </w:tc>
        <w:tc>
          <w:tcPr>
            <w:tcW w:type="dxa" w:w="4144"/>
            <w:vAlign w:val="top"/>
            <w:shd w:fill="F0F5F6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Guarda texto como pendente. Não aprova.</w:t>
            </w:r>
          </w:p>
        </w:tc>
      </w:tr>
      <w:tr>
        <w:trPr>
          <w:cantSplit/>
        </w:trPr>
        <w:tc>
          <w:tcPr>
            <w:tcW w:type="dxa" w:w="2313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finalizar</w:t>
            </w:r>
          </w:p>
        </w:tc>
        <w:tc>
          <w:tcPr>
            <w:tcW w:type="dxa" w:w="3180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{"texto":"Resposta fundamentada..."}</w:t>
            </w:r>
          </w:p>
        </w:tc>
        <w:tc>
          <w:tcPr>
            <w:tcW w:type="dxa" w:w="4144"/>
            <w:vAlign w:val="top"/>
          </w:tcPr>
          <w:p>
            <w:pPr>
              <w:spacing w:before="80" w:after="80" w:line="252" w:lineRule="auto"/>
            </w:pPr>
            <w:r>
              <w:rPr>
                <w:rFonts w:ascii="Arial" w:hAnsi="Arial"/>
                <w:sz w:val="18"/>
              </w:rPr>
              <w:t>Exibe a resposta e encerra o pedido.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pPr>
        <w:pStyle w:val="Heading2"/>
      </w:pPr>
      <w:r>
        <w:t>As quatro fronteiras</w:t>
      </w:r>
    </w:p>
    <w:p>
      <w:r>
        <w:rPr>
          <w:rFonts w:ascii="Arial" w:hAnsi="Arial"/>
        </w:rPr>
        <w:t>Dentro do motor do modelo: texto é formatado e tokenizado; a inferência produz tokens que se tornam uma mensagem. Na ponte: copiamos uma mensagem, não os tensores. No coordenador: o texto JSON é interpretado, validado e encaminhado. Na ferramenta: o programa realiza a operação e devolve uma observação.</w:t>
      </w:r>
    </w:p>
    <w:p>
      <w:pPr>
        <w:pStyle w:val="Heading2"/>
      </w:pPr>
      <w:r>
        <w:t>Biblioteca, estado e pesos não são sinônimos</w:t>
      </w:r>
    </w:p>
    <w:p>
      <w:r>
        <w:rPr>
          <w:rFonts w:ascii="Arial" w:hAnsi="Arial"/>
        </w:rPr>
        <w:t>A biblioteca contém os materiais consultáveis. O contexto contém o que foi selecionado para uma chamada. O estado registra o andamento. Os pesos são parâmetros da rede, não atualizados quando você guarda uma nota. Não confunda esses elementos com o KV cache do motor, que reutiliza cálculos de atenção.</w:t>
      </w:r>
    </w:p>
    <w:p>
      <w:r>
        <w:rPr>
          <w:rFonts w:ascii="Arial" w:hAnsi="Arial"/>
        </w:rPr>
        <w:t>MCP e ADK são discutidos como possibilidades em “Explorar os módulos”. Não estão instalados nesta versão. JSON, isoladamente, não implementa MCP.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ENTREGA, LIMITES E REFERÊNCIAS</w:t>
      </w:r>
    </w:p>
    <w:p>
      <w:pPr>
        <w:pStyle w:val="Heading1"/>
      </w:pPr>
      <w:r>
        <w:t>O que registrar e conferir</w:t>
      </w:r>
    </w:p>
    <w:p>
      <w:r>
        <w:rPr>
          <w:rFonts w:ascii="Arial" w:hAnsi="Arial"/>
        </w:rPr>
        <w:t>Entregue respostas numeradas, capturas selecionadas, uma proposta JSON e seu resultado, o projeto exportado e o desenho da Atividade 6. Informe a origem de cada execução: modelo realmente consultado, regras, fluxo fixo ou exemplo de contrato. Não entregue senhas, dados pessoais nem arquivos confidenciais.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Avaliação: necessidade do usuário; responsabilidades; entradas e saídas; origem dos dados; tratamento de erros; revisão; arquitetura mínima de um projeto próprio. A concordância com a hipótese histórica não é avaliada.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r>
        <w:rPr>
          <w:rFonts w:ascii="Arial" w:hAnsi="Arial"/>
        </w:rPr>
        <w:t>Esta edição conserva a amostra anterior; não a amplia silenciosamente com fatos da Internet. A pontuação de busca é lexical, não uma probabilidade de verdade. A existência de uma citação ao DSDP não significa que o relatório original foi incorporado. A biblioteca publicada é visível aos visitantes; notas pessoais não são sincronizadas.</w:t>
      </w:r>
    </w:p>
    <w:p>
      <w:pPr>
        <w:spacing w:line="252" w:lineRule="auto" w:after="120"/>
      </w:pPr>
      <w:r>
        <w:t>[S1] Laboratório Site 145, index.html, edição 5.0 (21/10/2026). Fonte operacional dos botões, contratos, limites e atividades deste guia. Biblioteca inicial: 15 fichas e 17 conjuntos de medições.</w:t>
      </w:r>
    </w:p>
    <w:p>
      <w:pPr>
        <w:spacing w:line="252" w:lineRule="auto" w:after="120"/>
      </w:pPr>
      <w:r>
        <w:rPr>
          <w:rFonts w:ascii="Arial" w:hAnsi="Arial"/>
          <w:sz w:val="17"/>
        </w:rPr>
        <w:t>[F1] ROPERO PELÁEZ, Javier. Site 145: a geomagnetic “Mecca” for ancient megalith builders. Manuscrito fornecido pelo autor. Métodos: pp. 5–7; tabela: p. 8; casos não alinhados: p. 14. Não se presume publicação nem validação externa.</w:t>
      </w:r>
    </w:p>
    <w:p>
      <w:pPr>
        <w:spacing w:line="252" w:lineRule="auto" w:after="120"/>
      </w:pPr>
      <w:r>
        <w:rPr>
          <w:rFonts w:ascii="Arial" w:hAnsi="Arial"/>
          <w:sz w:val="17"/>
        </w:rPr>
        <w:t>[F2] Planilha “alineacion con Poseidonia dos medidas (Journal of archaeology) definitiva.xls”. Coordenadas e fórmulas extraídas anteriormente; a edição estática conserva os valores e sua procedência.</w:t>
      </w:r>
    </w:p>
    <w:p>
      <w:pPr>
        <w:spacing w:line="252" w:lineRule="auto" w:after="120"/>
      </w:pPr>
      <w:r>
        <w:rPr>
          <w:rFonts w:ascii="Arial" w:hAnsi="Arial"/>
          <w:sz w:val="17"/>
        </w:rPr>
        <w:t>[F3] Transcrição fornecida de TEDxUFABC: 02:25–02:57, 03:14–04:17 e 09:56–10:25. Vídeo: https://youtu.be/O1pCenSVsRg. O buscador consulta texto, não analisa automaticamente a imagem dos vídeos.</w:t>
      </w:r>
    </w:p>
    <w:p>
      <w:pPr>
        <w:spacing w:line="252" w:lineRule="auto" w:after="120"/>
      </w:pPr>
      <w:r>
        <w:rPr>
          <w:rFonts w:ascii="Arial" w:hAnsi="Arial"/>
          <w:sz w:val="17"/>
        </w:rPr>
        <w:t>[F4] ROPERO PELÁEZ, Francisco Javier. W. Versão fornecida para estudantes de espanhol, 2011, p. 2. Obra narrativa, distinguida de relatório científico.</w:t>
      </w:r>
    </w:p>
    <w:p>
      <w:pPr>
        <w:spacing w:line="252" w:lineRule="auto" w:after="120"/>
      </w:pPr>
      <w:r>
        <w:rPr>
          <w:rFonts w:ascii="Arial" w:hAnsi="Arial"/>
          <w:sz w:val="17"/>
        </w:rPr>
        <w:t>[T1] RFC 8259 — The JavaScript Object Notation (JSON) Data Interchange Format. https://www.rfc-editor.org/rfc/rfc8259</w:t>
      </w:r>
    </w:p>
    <w:p>
      <w:pPr>
        <w:spacing w:line="252" w:lineRule="auto" w:after="120"/>
      </w:pPr>
      <w:r>
        <w:rPr>
          <w:rFonts w:ascii="Arial" w:hAnsi="Arial"/>
          <w:sz w:val="17"/>
        </w:rPr>
        <w:t>[T2] OpenAI — Function calling. https://developers.openai.com/api/docs/guides/function-calling. Referência do ciclo programático; a ponte desta atividade é manual, não uma chamada nativa à API.</w:t>
      </w:r>
    </w:p>
    <w:p>
      <w:pPr>
        <w:spacing w:line="252" w:lineRule="auto" w:after="120"/>
      </w:pPr>
      <w:r>
        <w:rPr>
          <w:rFonts w:ascii="Arial" w:hAnsi="Arial"/>
          <w:sz w:val="17"/>
        </w:rPr>
        <w:t>[T3] Cloudflare Pages — Pricing. https://developers.cloudflare.com/pages/functions/pricing/ ; Direct Upload: https://developers.cloudflare.com/pages/get-started/direct-upload/ . Documentação de hospedagem consultada em 21/10/2026.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CONSULTE DEPOIS DAS ATIVIDADES</w:t>
      </w:r>
    </w:p>
    <w:p>
      <w:pPr>
        <w:pStyle w:val="Heading1"/>
      </w:pPr>
      <w:r>
        <w:t>Soluções comentadas · 1 a 5</w:t>
      </w:r>
    </w:p>
    <w:p>
      <w:pPr>
        <w:pStyle w:val="Heading2"/>
      </w:pPr>
      <w:r>
        <w:t>1</w:t>
      </w:r>
    </w:p>
    <w:p>
      <w:r>
        <w:rPr>
          <w:rFonts w:ascii="Arial" w:hAnsi="Arial"/>
        </w:rPr>
        <w:t>Uma resposta adequada relaciona materiais dispersos a uma necessidade concreta: localizar fontes, organizar uma ficha ou registrar uma revisão pendente. Não basta “descobrir a Atlântida”; o primeiro produto deve ser verificável e realizável com o acervo disponível.</w:t>
      </w:r>
    </w:p>
    <w:p>
      <w:pPr>
        <w:pStyle w:val="Heading2"/>
      </w:pPr>
      <w:r>
        <w:t>2</w:t>
      </w:r>
    </w:p>
    <w:p>
      <w:r>
        <w:rPr>
          <w:rFonts w:ascii="Arial" w:hAnsi="Arial"/>
        </w:rPr>
        <w:t>Exemplo: o coordenador envia uma consulta à recuperação; recebe trechos com IDs e localização. Depois prepara um contexto para o modelo. Outro exemplo é o catálogo devolver coordenadas ao estado que será lido pela calculadora. As entradas e saídas devem corresponder às caixas escolhidas.</w:t>
      </w:r>
    </w:p>
    <w:p>
      <w:pPr>
        <w:pStyle w:val="Heading2"/>
      </w:pPr>
      <w:r>
        <w:t>3</w:t>
      </w:r>
    </w:p>
    <w:p>
      <w:r>
        <w:rPr>
          <w:rFonts w:ascii="Arial" w:hAnsi="Arial"/>
        </w:rPr>
        <w:t>O modelo está no serviço externo consultado; coordenador, busca, calculadora e estado da sessão estão no navegador. O centro do desenho organiza responsabilidades. Não representa um servidor dentro do celular nem pesos embutidos no HTML.</w:t>
      </w:r>
    </w:p>
    <w:p>
      <w:pPr>
        <w:pStyle w:val="Heading2"/>
      </w:pPr>
      <w:r>
        <w:t>4</w:t>
      </w:r>
    </w:p>
    <w:p>
      <w:r>
        <w:rPr>
          <w:rFonts w:ascii="Arial" w:hAnsi="Arial"/>
        </w:rPr>
        <w:t>O texto de ida inclui a pergunta, regras e contrato de ferramentas, além das observações. A resposta de volta deve ser um objeto com acao e argumentos. Uma ordem de busca isolada não contém todo o contexto; um backup do projeto tampouco é o formato de ação.</w:t>
      </w:r>
    </w:p>
    <w:p>
      <w:pPr>
        <w:pStyle w:val="Heading2"/>
      </w:pPr>
      <w:r>
        <w:t>5</w:t>
      </w:r>
    </w:p>
    <w:p>
      <w:r>
        <w:rPr>
          <w:rFonts w:ascii="Arial" w:hAnsi="Arial"/>
        </w:rPr>
        <w:t>A resposta depende da rodada observada. Antes de validar, há apenas texto recebido. Depois de a proposta ser aceita, o programa chama a operação e registra a saída ou o erro. Copiar um exemplo do guia, em vez de consultar um modelo, deve ser identificado como teste de contrato.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SOLUÇÕES • O CICLO E A INFORMAÇÃO</w:t>
      </w:r>
    </w:p>
    <w:p>
      <w:pPr>
        <w:pStyle w:val="Heading1"/>
      </w:pPr>
      <w:r>
        <w:t>Soluções comentadas · 6 a 10</w:t>
      </w:r>
    </w:p>
    <w:p>
      <w:pPr>
        <w:pStyle w:val="Heading2"/>
      </w:pPr>
      <w:r>
        <w:t>6</w:t>
      </w:r>
    </w:p>
    <w:p>
      <w:r>
        <w:rPr>
          <w:rFonts w:ascii="Arial" w:hAnsi="Arial"/>
        </w:rPr>
        <w:t>Na ponte realmente usada, o LLM produz a proposta e o coordenador autoriza a chamada à ferramenta. A observação surge da execução pelo software. O JSON do modelo não comprova sozinho que uma busca ou um cálculo aconteceu.</w:t>
      </w:r>
    </w:p>
    <w:p>
      <w:pPr>
        <w:pStyle w:val="Heading2"/>
      </w:pPr>
      <w:r>
        <w:t>7</w:t>
      </w:r>
    </w:p>
    <w:p>
      <w:r>
        <w:rPr>
          <w:rFonts w:ascii="Arial" w:hAnsi="Arial"/>
        </w:rPr>
        <w:t>O novo contexto contém a ação executada e sua saída: por exemplo, fichas, referências ou um erro. Sem esse retorno, o modelo não conhece o resultado real e pode repetir a solicitação ou redigir sem base nos documentos. Não se deve enviar só o mesmo JSON de ação.</w:t>
      </w:r>
    </w:p>
    <w:p>
      <w:pPr>
        <w:pStyle w:val="Heading2"/>
      </w:pPr>
      <w:r>
        <w:t>8</w:t>
      </w:r>
    </w:p>
    <w:p>
      <w:r>
        <w:rPr>
          <w:rFonts w:ascii="Arial" w:hAnsi="Arial"/>
        </w:rPr>
        <w:t>É uma avaliação da resposta efetivamente obtida. Deve citar IDs e localizações recebidos, atribuir ao autor as interpretações e declarar o alcance da amostra. Não pode inventar dados de profundidade, perfuração ou fósseis que não estejam nos fragmentos.</w:t>
      </w:r>
    </w:p>
    <w:p>
      <w:pPr>
        <w:pStyle w:val="Heading2"/>
      </w:pPr>
      <w:r>
        <w:t>9</w:t>
      </w:r>
    </w:p>
    <w:p>
      <w:r>
        <w:rPr>
          <w:rFonts w:ascii="Arial" w:hAnsi="Arial"/>
        </w:rPr>
        <w:t>A nota altera a coleção pessoal em memória e, quando habilitado e permitido, o armazenamento local do navegador. Não reescreve pesos nem o arquivo publicado. Os demais visitantes não recebem automaticamente essa nota.</w:t>
      </w:r>
    </w:p>
    <w:p>
      <w:pPr>
        <w:pStyle w:val="Heading2"/>
      </w:pPr>
      <w:r>
        <w:t>10</w:t>
      </w:r>
    </w:p>
    <w:p>
      <w:r>
        <w:rPr>
          <w:rFonts w:ascii="Arial" w:hAnsi="Arial"/>
        </w:rPr>
        <w:t>Guardar mantém o texto disponível; recuperar seleciona os trechos; gerar utiliza esses trechos como contexto para redigir. O modelo participa da geração quando realmente consultado. Essa combinação pode ser RAG mesmo que a busca seja lexical e não vetorial.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SOLUÇÕES • CONTROLE E RESPONSABILIDADE</w:t>
      </w:r>
    </w:p>
    <w:p>
      <w:pPr>
        <w:pStyle w:val="Heading1"/>
      </w:pPr>
      <w:r>
        <w:t>Soluções comentadas · 11 a 15</w:t>
      </w:r>
    </w:p>
    <w:p>
      <w:pPr>
        <w:pStyle w:val="Heading2"/>
      </w:pPr>
      <w:r>
        <w:t>11</w:t>
      </w:r>
    </w:p>
    <w:p>
      <w:r>
        <w:rPr>
          <w:rFonts w:ascii="Arial" w:hAnsi="Arial"/>
        </w:rPr>
        <w:t>Não. A busca cobre uma amostra e depende de termos, idioma, preparação e seleção. A ausência de resultado não prova ausência no livro completo nem em fontes externas. O sistema deve delimitar sua conclusão e registrar o que falta consultar.</w:t>
      </w:r>
    </w:p>
    <w:p>
      <w:pPr>
        <w:pStyle w:val="Heading2"/>
      </w:pPr>
      <w:r>
        <w:t>12</w:t>
      </w:r>
    </w:p>
    <w:p>
      <w:r>
        <w:rPr>
          <w:rFonts w:ascii="Arial" w:hAnsi="Arial"/>
        </w:rPr>
        <w:t>No fluxo fixo, a sequência pode tentar o cálculo depois de receber B ausente; a ferramenta o recusa. No modo guiado, regras consideram a ausência e evitam a chamada, propondo revisão. A ferramenta depende de duas coordenadas válidas e de um destino; o original permanece intacto.</w:t>
      </w:r>
    </w:p>
    <w:p>
      <w:pPr>
        <w:pStyle w:val="Heading2"/>
      </w:pPr>
      <w:r>
        <w:t>13</w:t>
      </w:r>
    </w:p>
    <w:p>
      <w:r>
        <w:rPr>
          <w:rFonts w:ascii="Arial" w:hAnsi="Arial"/>
        </w:rPr>
        <w:t>Fluxo fixo e guiado usam código/regras, não uma chamada ao Transformer. Na ponte, a próxima ação pode vir de um LLM consultado. Adaptar uma sequência por regras não demonstra inferência neuronal. É necessário registrar a origem da proposta.</w:t>
      </w:r>
    </w:p>
    <w:p>
      <w:pPr>
        <w:pStyle w:val="Heading2"/>
      </w:pPr>
      <w:r>
        <w:t>14</w:t>
      </w:r>
    </w:p>
    <w:p>
      <w:r>
        <w:rPr>
          <w:rFonts w:ascii="Arial" w:hAnsi="Arial"/>
        </w:rPr>
        <w:t>O contrato e a lista permitida pertencem ao coordenador. Uma ação desconhecida ou malformada deve ser recusada. JSON sintaticamente aceito não garante pertinência da ação, autenticidade das fontes ou verdade da resposta. A validação é necessária, não suficiente.</w:t>
      </w:r>
    </w:p>
    <w:p>
      <w:pPr>
        <w:pStyle w:val="Heading2"/>
      </w:pPr>
      <w:r>
        <w:t>15</w:t>
      </w:r>
    </w:p>
    <w:p>
      <w:r>
        <w:rPr>
          <w:rFonts w:ascii="Arial" w:hAnsi="Arial"/>
        </w:rPr>
        <w:t>Pendente identifica texto para revisão; aprovar nesta cópia registra uma decisão do usuário. Publicar para todos exigiria um serviço de escrita compartilhada, ausente na edição estática. A hospedagem do HTML não transforma o botão local em publicação.</w:t>
      </w:r>
    </w:p>
    <w:p>
      <w:r>
        <w:br w:type="page"/>
      </w:r>
    </w:p>
    <w:p>
      <w:pPr>
        <w:spacing w:after="100"/>
      </w:pPr>
      <w:r>
        <w:rPr>
          <w:rFonts w:ascii="Arial" w:hAnsi="Arial"/>
          <w:b/>
          <w:color w:val="087E83"/>
          <w:sz w:val="18"/>
        </w:rPr>
        <w:t>SOLUÇÕES • CONTINUIDADE E TRANSFERÊNCIA</w:t>
      </w:r>
    </w:p>
    <w:p>
      <w:pPr>
        <w:pStyle w:val="Heading1"/>
      </w:pPr>
      <w:r>
        <w:t>Soluções comentadas · 16 a 20</w:t>
      </w:r>
    </w:p>
    <w:p>
      <w:pPr>
        <w:pStyle w:val="Heading2"/>
      </w:pPr>
      <w:r>
        <w:t>16</w:t>
      </w:r>
    </w:p>
    <w:p>
      <w:r>
        <w:rPr>
          <w:rFonts w:ascii="Arial" w:hAnsi="Arial"/>
        </w:rPr>
        <w:t>A ação JSON contém acao e argumentos e entra na ponte. O backup contém objetivo, notas, fichas, tarefas e registros do projeto; entra em Importar projeto. Os dois usam o mesmo formato textual, mas obedecem a contratos diferentes. Não são intercambiáveis.</w:t>
      </w:r>
    </w:p>
    <w:p>
      <w:pPr>
        <w:pStyle w:val="Heading2"/>
      </w:pPr>
      <w:r>
        <w:t>17</w:t>
      </w:r>
    </w:p>
    <w:p>
      <w:r>
        <w:rPr>
          <w:rFonts w:ascii="Arial" w:hAnsi="Arial"/>
        </w:rPr>
        <w:t>Exporte o projeto e transporte o arquivo para importá-lo no outro aparelho. localStorage depende de navegador e origem; checkpoint da aba é uma ajuda, não backup garantido. O site é distribuído pelo servidor, mas seu ciclo executa no navegador. Fechar a página interrompe o trabalho.</w:t>
      </w:r>
    </w:p>
    <w:p>
      <w:pPr>
        <w:pStyle w:val="Heading2"/>
      </w:pPr>
      <w:r>
        <w:t>18</w:t>
      </w:r>
    </w:p>
    <w:p>
      <w:r>
        <w:rPr>
          <w:rFonts w:ascii="Arial" w:hAnsi="Arial"/>
        </w:rPr>
        <w:t>A calculadora é uma função determinística. Formulário e coordenador podem enviar entradas ao mesmo código. Com o agente, muda quem solicita e como a observação retorna ao modelo; a conta não passa a ser efetuada pelos pesos do Transformer.</w:t>
      </w:r>
    </w:p>
    <w:p>
      <w:pPr>
        <w:pStyle w:val="Heading2"/>
      </w:pPr>
      <w:r>
        <w:t>19</w:t>
      </w:r>
    </w:p>
    <w:p>
      <w:r>
        <w:rPr>
          <w:rFonts w:ascii="Arial" w:hAnsi="Arial"/>
        </w:rPr>
        <w:t>Conserve pontos A/B, limites do destino, unidades, fonte, células quando disponíveis e versão do método. A reprodução da fórmula é uma operação sobre esses dados. Qualidade das medições, intenção histórica e interpretação da hipótese são questões diferentes.</w:t>
      </w:r>
    </w:p>
    <w:p>
      <w:pPr>
        <w:pStyle w:val="Heading2"/>
      </w:pPr>
      <w:r>
        <w:t>20</w:t>
      </w:r>
    </w:p>
    <w:p>
      <w:r>
        <w:rPr>
          <w:rFonts w:ascii="Arial" w:hAnsi="Arial"/>
        </w:rPr>
        <w:t>Resposta aberta. Um bom desenho parte de necessidade e produto verificável, rotula interfaces e mostra revisão. Pode usar fluxo fixo para tarefas previsíveis e modelo para escolher consultas diante de um objetivo variável. Deve justificar uma exclusão e a localização das funções. Não há pontuação por acumular tecnologias.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DF5F4"/>
          </w:tcPr>
          <w:p>
            <w:pPr>
              <w:spacing w:before="120" w:after="120"/>
            </w:pPr>
            <w:r>
              <w:rPr>
                <w:rFonts w:ascii="Arial" w:hAnsi="Arial"/>
                <w:sz w:val="19"/>
              </w:rPr>
              <w:t>Síntese: intenção → contexto → proposta → validação → operação → observação → continuidade. O usuário continua responsável pelo projeto.</w:t>
            </w:r>
          </w:p>
        </w:tc>
      </w:tr>
    </w:tbl>
    <w:p>
      <w:pPr>
        <w:spacing w:after="0"/>
      </w:pPr>
      <w:r>
        <w:rPr>
          <w:rFonts w:ascii="Arial" w:hAnsi="Arial"/>
        </w:rPr>
      </w:r>
    </w:p>
    <w:p>
      <w:pPr/>
      <w:r>
        <w:t>NOTA SOBRE O CICLO: Uma busca é apenas uma etapa intermediária. Os fragmentos ficam ocultos por padrão e podem ser abertos opcionalmente. Depois de executar um JSON de busca, use o botão 3 para levar os resultados ao MESMO chat da IA; repita até receber finalizar. O aluno é o mensageiro entre o modelo externo e o coordenador no navegador.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35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47D"/>
        <w:sz w:val="16"/>
      </w:rPr>
      <w:t xml:space="preserve">Guia do aluno · Edição estática 4.0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spacing w:after="0"/>
    </w:pPr>
    <w:r>
      <w:t>SITE 145  /  PROJETO • ARQUITETURA • AÇÃO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color w:val="203A4A"/>
      <w:sz w:val="21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43A41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87E8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43A41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5E737B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igo">
    <w:name w:val="Codigo"/>
    <w:pPr>
      <w:keepLines/>
      <w:spacing w:line="240" w:lineRule="auto" w:after="160"/>
      <w:ind w:left="102" w:right="68"/>
    </w:pPr>
    <w:rPr>
      <w:rFonts w:ascii="DejaVu Sans Mono" w:hAnsi="DejaVu Sans Mono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145 — Guia do aluno</dc:title>
  <dc:subject>Arquitetura de sistemas agênticos; ponte manual JSON; edição estática 4.0</dc:subject>
  <dc:creator>Francisco Javier Ropero Peláez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